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C29" w:rsidRDefault="00997CCC">
      <w:r>
        <w:rPr>
          <w:noProof/>
        </w:rPr>
        <w:drawing>
          <wp:inline distT="0" distB="0" distL="0" distR="0">
            <wp:extent cx="1485900" cy="628650"/>
            <wp:effectExtent l="19050" t="0" r="0" b="0"/>
            <wp:docPr id="1" name="Image 1" descr="D:\RENOVATION-BTS\13novembre2014\logoCB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RENOVATION-BTS\13novembre2014\logoCB2C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C29" w:rsidRDefault="00CE7C29"/>
    <w:p w:rsidR="00CE7C29" w:rsidRDefault="00CE7C29"/>
    <w:tbl>
      <w:tblPr>
        <w:tblStyle w:val="Grilledutableau"/>
        <w:tblW w:w="0" w:type="auto"/>
        <w:tblLook w:val="04A0"/>
      </w:tblPr>
      <w:tblGrid>
        <w:gridCol w:w="4606"/>
        <w:gridCol w:w="4606"/>
      </w:tblGrid>
      <w:tr w:rsidR="00601C6F" w:rsidTr="00601C6F">
        <w:trPr>
          <w:trHeight w:val="680"/>
        </w:trPr>
        <w:tc>
          <w:tcPr>
            <w:tcW w:w="4606" w:type="dxa"/>
            <w:vAlign w:val="center"/>
          </w:tcPr>
          <w:p w:rsidR="00601C6F" w:rsidRDefault="00601C6F" w:rsidP="00601C6F">
            <w:r>
              <w:t>Jacques VIAL</w:t>
            </w:r>
          </w:p>
          <w:p w:rsidR="00601C6F" w:rsidRPr="00601C6F" w:rsidRDefault="00601C6F" w:rsidP="00601C6F">
            <w:pPr>
              <w:rPr>
                <w:b/>
              </w:rPr>
            </w:pPr>
            <w:r w:rsidRPr="00601C6F">
              <w:rPr>
                <w:b/>
              </w:rPr>
              <w:t>Directeur administratif</w:t>
            </w:r>
          </w:p>
        </w:tc>
        <w:tc>
          <w:tcPr>
            <w:tcW w:w="4606" w:type="dxa"/>
            <w:vMerge w:val="restart"/>
            <w:vAlign w:val="center"/>
          </w:tcPr>
          <w:p w:rsidR="00601C6F" w:rsidRPr="00601C6F" w:rsidRDefault="00601C6F" w:rsidP="00601C6F">
            <w:pPr>
              <w:jc w:val="center"/>
              <w:rPr>
                <w:b/>
              </w:rPr>
            </w:pPr>
            <w:r w:rsidRPr="00601C6F">
              <w:rPr>
                <w:b/>
              </w:rPr>
              <w:t>Service comptabilité</w:t>
            </w:r>
          </w:p>
        </w:tc>
      </w:tr>
      <w:tr w:rsidR="00601C6F" w:rsidTr="00601C6F">
        <w:trPr>
          <w:trHeight w:val="567"/>
        </w:trPr>
        <w:tc>
          <w:tcPr>
            <w:tcW w:w="4606" w:type="dxa"/>
            <w:vAlign w:val="center"/>
          </w:tcPr>
          <w:p w:rsidR="00601C6F" w:rsidRDefault="00601C6F" w:rsidP="00601C6F">
            <w:r>
              <w:t>Date : 01 avril 2014</w:t>
            </w:r>
          </w:p>
        </w:tc>
        <w:tc>
          <w:tcPr>
            <w:tcW w:w="4606" w:type="dxa"/>
            <w:vMerge/>
          </w:tcPr>
          <w:p w:rsidR="00601C6F" w:rsidRDefault="00601C6F"/>
        </w:tc>
      </w:tr>
      <w:tr w:rsidR="00601C6F" w:rsidTr="00601C6F">
        <w:trPr>
          <w:trHeight w:val="567"/>
        </w:trPr>
        <w:tc>
          <w:tcPr>
            <w:tcW w:w="4606" w:type="dxa"/>
            <w:vAlign w:val="center"/>
          </w:tcPr>
          <w:p w:rsidR="00601C6F" w:rsidRDefault="00601C6F" w:rsidP="00601C6F">
            <w:r>
              <w:t>Objet : Sécurisation poste client</w:t>
            </w:r>
          </w:p>
        </w:tc>
        <w:tc>
          <w:tcPr>
            <w:tcW w:w="4606" w:type="dxa"/>
            <w:vMerge/>
          </w:tcPr>
          <w:p w:rsidR="00601C6F" w:rsidRDefault="00601C6F"/>
        </w:tc>
      </w:tr>
      <w:tr w:rsidR="00601C6F" w:rsidTr="007F2AC8">
        <w:trPr>
          <w:trHeight w:val="567"/>
        </w:trPr>
        <w:tc>
          <w:tcPr>
            <w:tcW w:w="9212" w:type="dxa"/>
            <w:gridSpan w:val="2"/>
            <w:vAlign w:val="center"/>
          </w:tcPr>
          <w:p w:rsidR="00601C6F" w:rsidRPr="00601C6F" w:rsidRDefault="00601C6F" w:rsidP="00601C6F">
            <w:pPr>
              <w:jc w:val="center"/>
              <w:rPr>
                <w:b/>
                <w:sz w:val="28"/>
                <w:szCs w:val="28"/>
              </w:rPr>
            </w:pPr>
            <w:r w:rsidRPr="00601C6F">
              <w:rPr>
                <w:b/>
                <w:sz w:val="28"/>
                <w:szCs w:val="28"/>
              </w:rPr>
              <w:t>Note interne</w:t>
            </w:r>
            <w:r>
              <w:rPr>
                <w:b/>
                <w:sz w:val="28"/>
                <w:szCs w:val="28"/>
              </w:rPr>
              <w:t xml:space="preserve"> n° 04-01</w:t>
            </w:r>
          </w:p>
        </w:tc>
      </w:tr>
    </w:tbl>
    <w:p w:rsidR="00CE7C29" w:rsidRDefault="00CE7C29"/>
    <w:p w:rsidR="00601C6F" w:rsidRDefault="00601C6F"/>
    <w:p w:rsidR="00601C6F" w:rsidRDefault="00601C6F" w:rsidP="00D965BC">
      <w:pPr>
        <w:jc w:val="both"/>
      </w:pPr>
      <w:r>
        <w:t>Pour sécuriser le poste client, et suite aux propositions émises concernant la définition d</w:t>
      </w:r>
      <w:r w:rsidR="00C761BC">
        <w:t>e la ligne de crédit par client</w:t>
      </w:r>
      <w:r>
        <w:t xml:space="preserve"> et la politique de délais accordés pour les règlements, les décisions prises sont les suivantes : </w:t>
      </w:r>
    </w:p>
    <w:p w:rsidR="00601C6F" w:rsidRDefault="00601C6F" w:rsidP="00D965BC">
      <w:pPr>
        <w:jc w:val="both"/>
      </w:pPr>
    </w:p>
    <w:p w:rsidR="00601C6F" w:rsidRDefault="00601C6F" w:rsidP="00D965BC">
      <w:pPr>
        <w:pStyle w:val="Paragraphedeliste"/>
        <w:numPr>
          <w:ilvl w:val="0"/>
          <w:numId w:val="2"/>
        </w:numPr>
        <w:jc w:val="both"/>
        <w:rPr>
          <w:b/>
        </w:rPr>
      </w:pPr>
      <w:r w:rsidRPr="00601C6F">
        <w:rPr>
          <w:b/>
        </w:rPr>
        <w:t>Lignes de crédit / encours client</w:t>
      </w:r>
    </w:p>
    <w:p w:rsidR="00601C6F" w:rsidRDefault="00601C6F" w:rsidP="00D965BC">
      <w:pPr>
        <w:jc w:val="both"/>
        <w:rPr>
          <w:b/>
        </w:rPr>
      </w:pPr>
    </w:p>
    <w:p w:rsidR="00D965BC" w:rsidRDefault="00D965BC" w:rsidP="00D965BC">
      <w:pPr>
        <w:ind w:left="426"/>
        <w:jc w:val="both"/>
      </w:pPr>
      <w:r>
        <w:t>Mettre en place une limite de crédit autorisé (montant maximum de l'encours client) :</w:t>
      </w:r>
    </w:p>
    <w:p w:rsidR="00D965BC" w:rsidRDefault="00D965BC" w:rsidP="00D965BC">
      <w:pPr>
        <w:jc w:val="both"/>
      </w:pPr>
    </w:p>
    <w:p w:rsidR="00D965BC" w:rsidRDefault="00D965BC" w:rsidP="00D965BC">
      <w:pPr>
        <w:pStyle w:val="Paragraphedeliste"/>
        <w:numPr>
          <w:ilvl w:val="0"/>
          <w:numId w:val="3"/>
        </w:numPr>
        <w:jc w:val="both"/>
      </w:pPr>
      <w:r>
        <w:t>Pour les clients de plus d’un an : 2 mois de chiffre d’affaires de l’année précédente,</w:t>
      </w:r>
    </w:p>
    <w:p w:rsidR="00D965BC" w:rsidRDefault="00D965BC" w:rsidP="00D965BC">
      <w:pPr>
        <w:pStyle w:val="Paragraphedeliste"/>
        <w:numPr>
          <w:ilvl w:val="0"/>
          <w:numId w:val="3"/>
        </w:numPr>
        <w:jc w:val="both"/>
      </w:pPr>
      <w:r>
        <w:t>Pour les clients de moins d’un an : encours forfaitaire minimum de 10 000 € (négociable).</w:t>
      </w:r>
    </w:p>
    <w:p w:rsidR="00601C6F" w:rsidRPr="00601C6F" w:rsidRDefault="00601C6F" w:rsidP="00D965BC">
      <w:pPr>
        <w:jc w:val="both"/>
        <w:rPr>
          <w:b/>
        </w:rPr>
      </w:pPr>
    </w:p>
    <w:p w:rsidR="00601C6F" w:rsidRDefault="00601C6F" w:rsidP="00601C6F"/>
    <w:p w:rsidR="00601C6F" w:rsidRPr="00601C6F" w:rsidRDefault="00601C6F" w:rsidP="00601C6F">
      <w:pPr>
        <w:pStyle w:val="Paragraphedeliste"/>
        <w:numPr>
          <w:ilvl w:val="0"/>
          <w:numId w:val="2"/>
        </w:numPr>
        <w:rPr>
          <w:b/>
        </w:rPr>
      </w:pPr>
      <w:r w:rsidRPr="00601C6F">
        <w:rPr>
          <w:b/>
        </w:rPr>
        <w:t>Conditions de règlement accordées aux clients</w:t>
      </w:r>
    </w:p>
    <w:p w:rsidR="00601C6F" w:rsidRDefault="00601C6F"/>
    <w:p w:rsidR="00D965BC" w:rsidRDefault="00C761BC" w:rsidP="00D965BC">
      <w:pPr>
        <w:ind w:left="426"/>
        <w:jc w:val="both"/>
      </w:pPr>
      <w:r>
        <w:t>Ne garder que les conditions de règlement permises par la loi de modernisation de l’économie (LME).</w:t>
      </w:r>
    </w:p>
    <w:p w:rsidR="00D965BC" w:rsidRDefault="00D965BC"/>
    <w:sectPr w:rsidR="00D965BC" w:rsidSect="00D965BC">
      <w:footerReference w:type="default" r:id="rId8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96D" w:rsidRDefault="0091496D" w:rsidP="00997CCC">
      <w:r>
        <w:separator/>
      </w:r>
    </w:p>
  </w:endnote>
  <w:endnote w:type="continuationSeparator" w:id="1">
    <w:p w:rsidR="0091496D" w:rsidRDefault="0091496D" w:rsidP="00997C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CCC" w:rsidRPr="00997CCC" w:rsidRDefault="00997CCC" w:rsidP="00997CCC">
    <w:pPr>
      <w:pStyle w:val="Pieddepage"/>
      <w:jc w:val="center"/>
      <w:rPr>
        <w:rFonts w:asciiTheme="minorHAnsi" w:hAnsiTheme="minorHAnsi"/>
        <w:sz w:val="20"/>
        <w:szCs w:val="20"/>
      </w:rPr>
    </w:pPr>
    <w:r w:rsidRPr="00997CCC">
      <w:rPr>
        <w:rFonts w:asciiTheme="minorHAnsi" w:hAnsiTheme="minorHAnsi"/>
        <w:sz w:val="20"/>
        <w:szCs w:val="20"/>
      </w:rPr>
      <w:sym w:font="Wingdings" w:char="F02A"/>
    </w:r>
    <w:r w:rsidRPr="00997CCC">
      <w:rPr>
        <w:rFonts w:asciiTheme="minorHAnsi" w:hAnsiTheme="minorHAnsi"/>
        <w:sz w:val="20"/>
        <w:szCs w:val="20"/>
      </w:rPr>
      <w:t xml:space="preserve">235, rue Sadi Carnot 02120 Guise  - </w:t>
    </w:r>
    <w:r w:rsidRPr="00997CCC">
      <w:rPr>
        <w:rFonts w:asciiTheme="minorHAnsi" w:hAnsiTheme="minorHAnsi"/>
        <w:sz w:val="20"/>
        <w:szCs w:val="20"/>
      </w:rPr>
      <w:sym w:font="Wingdings" w:char="F028"/>
    </w:r>
    <w:r w:rsidRPr="00997CCC">
      <w:rPr>
        <w:rFonts w:asciiTheme="minorHAnsi" w:hAnsiTheme="minorHAnsi"/>
        <w:sz w:val="20"/>
        <w:szCs w:val="20"/>
      </w:rPr>
      <w:t xml:space="preserve"> 03 23 05 70 00 – </w:t>
    </w:r>
    <w:r w:rsidRPr="00997CCC">
      <w:rPr>
        <w:rFonts w:asciiTheme="minorHAnsi" w:hAnsiTheme="minorHAnsi" w:cs="Arial"/>
        <w:b/>
        <w:sz w:val="20"/>
        <w:szCs w:val="20"/>
      </w:rPr>
      <w:t>@</w:t>
    </w:r>
    <w:r w:rsidRPr="00997CCC">
      <w:rPr>
        <w:rFonts w:asciiTheme="minorHAnsi" w:hAnsiTheme="minorHAnsi"/>
        <w:sz w:val="20"/>
        <w:szCs w:val="20"/>
      </w:rPr>
      <w:t xml:space="preserve"> com@CB2C.fr</w:t>
    </w:r>
  </w:p>
  <w:p w:rsidR="00997CCC" w:rsidRDefault="00997CCC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96D" w:rsidRDefault="0091496D" w:rsidP="00997CCC">
      <w:r>
        <w:separator/>
      </w:r>
    </w:p>
  </w:footnote>
  <w:footnote w:type="continuationSeparator" w:id="1">
    <w:p w:rsidR="0091496D" w:rsidRDefault="0091496D" w:rsidP="00997C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F0EB7"/>
    <w:multiLevelType w:val="hybridMultilevel"/>
    <w:tmpl w:val="611E3D64"/>
    <w:lvl w:ilvl="0" w:tplc="ED2094E4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263DDD"/>
    <w:multiLevelType w:val="hybridMultilevel"/>
    <w:tmpl w:val="3438D8B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A8433E"/>
    <w:multiLevelType w:val="singleLevel"/>
    <w:tmpl w:val="CAB07A1E"/>
    <w:lvl w:ilvl="0">
      <w:start w:val="3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rawingGridHorizontalSpacing w:val="110"/>
  <w:displayHorizontalDrawingGridEvery w:val="0"/>
  <w:displayVerticalDrawingGridEvery w:val="0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</w:compat>
  <w:rsids>
    <w:rsidRoot w:val="00997CCC"/>
    <w:rsid w:val="00601C6F"/>
    <w:rsid w:val="0091496D"/>
    <w:rsid w:val="00997CCC"/>
    <w:rsid w:val="00C761BC"/>
    <w:rsid w:val="00CE7C29"/>
    <w:rsid w:val="00D965BC"/>
    <w:rsid w:val="00F03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C29"/>
    <w:pPr>
      <w:spacing w:after="0" w:line="240" w:lineRule="auto"/>
    </w:pPr>
    <w:rPr>
      <w:rFonts w:ascii="Comic Sans MS" w:hAnsi="Comic Sans MS" w:cs="Comic Sans M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2">
    <w:name w:val="Body Text 2"/>
    <w:basedOn w:val="Normal"/>
    <w:link w:val="Corpsdetexte2Car"/>
    <w:uiPriority w:val="99"/>
    <w:rsid w:val="00CE7C29"/>
    <w:pPr>
      <w:ind w:left="1134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CE7C29"/>
    <w:rPr>
      <w:rFonts w:ascii="Comic Sans MS" w:hAnsi="Comic Sans MS" w:cs="Comic Sans MS"/>
    </w:rPr>
  </w:style>
  <w:style w:type="paragraph" w:styleId="Retraitcorpsdetexte2">
    <w:name w:val="Body Text Indent 2"/>
    <w:basedOn w:val="Normal"/>
    <w:link w:val="Retraitcorpsdetexte2Car"/>
    <w:uiPriority w:val="99"/>
    <w:rsid w:val="00CE7C29"/>
    <w:pPr>
      <w:ind w:left="1134"/>
    </w:pPr>
    <w:rPr>
      <w:i/>
      <w:iCs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CE7C29"/>
    <w:rPr>
      <w:rFonts w:ascii="Comic Sans MS" w:hAnsi="Comic Sans MS" w:cs="Comic Sans MS"/>
    </w:rPr>
  </w:style>
  <w:style w:type="paragraph" w:styleId="En-tte">
    <w:name w:val="header"/>
    <w:basedOn w:val="Normal"/>
    <w:link w:val="En-tteCar"/>
    <w:uiPriority w:val="99"/>
    <w:semiHidden/>
    <w:unhideWhenUsed/>
    <w:rsid w:val="00997CC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997CCC"/>
    <w:rPr>
      <w:rFonts w:ascii="Comic Sans MS" w:hAnsi="Comic Sans MS" w:cs="Comic Sans MS"/>
    </w:rPr>
  </w:style>
  <w:style w:type="paragraph" w:styleId="Pieddepage">
    <w:name w:val="footer"/>
    <w:basedOn w:val="Normal"/>
    <w:link w:val="PieddepageCar"/>
    <w:uiPriority w:val="99"/>
    <w:unhideWhenUsed/>
    <w:rsid w:val="00997CC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97CCC"/>
    <w:rPr>
      <w:rFonts w:ascii="Comic Sans MS" w:hAnsi="Comic Sans MS" w:cs="Comic Sans M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01C6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1C6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1C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601C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Maître</vt:lpstr>
    </vt:vector>
  </TitlesOfParts>
  <Company>HP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Maître</dc:title>
  <dc:creator>Christine MARCHAL - VINC</dc:creator>
  <cp:lastModifiedBy>Chef des Traveaux</cp:lastModifiedBy>
  <cp:revision>3</cp:revision>
  <dcterms:created xsi:type="dcterms:W3CDTF">2014-11-20T15:38:00Z</dcterms:created>
  <dcterms:modified xsi:type="dcterms:W3CDTF">2014-11-20T15:42:00Z</dcterms:modified>
</cp:coreProperties>
</file>